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B17F4" w14:textId="3C6B5870" w:rsidR="00647B79" w:rsidRDefault="00647B79" w:rsidP="00647B79">
      <w:pPr>
        <w:pStyle w:val="Heading1"/>
      </w:pPr>
      <w:r>
        <w:t>Overview</w:t>
      </w:r>
    </w:p>
    <w:p w14:paraId="344D9E53" w14:textId="4F83F497"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The Broomhall Centre (</w:t>
      </w:r>
      <w:r>
        <w:rPr>
          <w:rFonts w:ascii="Calibri" w:eastAsia="Times New Roman" w:hAnsi="Calibri" w:cs="Calibri"/>
          <w:color w:val="000000"/>
        </w:rPr>
        <w:t>BHC</w:t>
      </w:r>
      <w:r w:rsidRPr="00647B79">
        <w:rPr>
          <w:rFonts w:ascii="Calibri" w:eastAsia="Times New Roman" w:hAnsi="Calibri" w:cs="Calibri"/>
          <w:color w:val="000000"/>
        </w:rPr>
        <w:t xml:space="preserve">) aims to provide high quality services which meet the needs of both affiliate organisations and individuals. We believe we achieve this most of the time. However, in order to ensure our </w:t>
      </w:r>
      <w:proofErr w:type="gramStart"/>
      <w:r w:rsidRPr="00647B79">
        <w:rPr>
          <w:rFonts w:ascii="Calibri" w:eastAsia="Times New Roman" w:hAnsi="Calibri" w:cs="Calibri"/>
          <w:color w:val="000000"/>
        </w:rPr>
        <w:t>services</w:t>
      </w:r>
      <w:proofErr w:type="gramEnd"/>
      <w:r w:rsidRPr="00647B79">
        <w:rPr>
          <w:rFonts w:ascii="Calibri" w:eastAsia="Times New Roman" w:hAnsi="Calibri" w:cs="Calibri"/>
          <w:color w:val="000000"/>
        </w:rPr>
        <w:t xml:space="preserve"> remain at a high and improving standard, we have a procedure through which you can let us know if for any reason you are not satisfied with your dealings with the organisation.</w:t>
      </w:r>
    </w:p>
    <w:p w14:paraId="20BFAAE6" w14:textId="77777777" w:rsidR="00647B79" w:rsidRPr="00647B79" w:rsidRDefault="00647B79" w:rsidP="00647B79">
      <w:pPr>
        <w:spacing w:line="240" w:lineRule="auto"/>
        <w:rPr>
          <w:rFonts w:ascii="Calibri" w:eastAsia="Times New Roman" w:hAnsi="Calibri" w:cs="Calibri"/>
        </w:rPr>
      </w:pPr>
    </w:p>
    <w:p w14:paraId="740BFDBD" w14:textId="650956AA"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 xml:space="preserve">Should you be dissatisfied with any aspect of </w:t>
      </w:r>
      <w:r>
        <w:rPr>
          <w:rFonts w:ascii="Calibri" w:eastAsia="Times New Roman" w:hAnsi="Calibri" w:cs="Calibri"/>
          <w:color w:val="000000"/>
        </w:rPr>
        <w:t>BHC</w:t>
      </w:r>
      <w:r w:rsidRPr="00647B79">
        <w:rPr>
          <w:rFonts w:ascii="Calibri" w:eastAsia="Times New Roman" w:hAnsi="Calibri" w:cs="Calibri"/>
          <w:color w:val="000000"/>
        </w:rPr>
        <w:t xml:space="preserve">’s service the complaints procedure is as follows: </w:t>
      </w:r>
    </w:p>
    <w:p w14:paraId="0B1220BE" w14:textId="77777777" w:rsidR="00647B79" w:rsidRPr="00647B79" w:rsidRDefault="00647B79" w:rsidP="00647B79">
      <w:pPr>
        <w:spacing w:line="240" w:lineRule="auto"/>
        <w:rPr>
          <w:rFonts w:ascii="Calibri" w:eastAsia="Times New Roman" w:hAnsi="Calibri" w:cs="Calibri"/>
        </w:rPr>
      </w:pPr>
    </w:p>
    <w:p w14:paraId="517ECDD9" w14:textId="2A5FEFDE" w:rsidR="00647B79" w:rsidRPr="00647B79" w:rsidRDefault="00647B79" w:rsidP="00647B79">
      <w:pPr>
        <w:numPr>
          <w:ilvl w:val="0"/>
          <w:numId w:val="9"/>
        </w:numPr>
        <w:spacing w:line="240" w:lineRule="auto"/>
        <w:ind w:left="360"/>
        <w:textAlignment w:val="baseline"/>
        <w:rPr>
          <w:rFonts w:ascii="Calibri" w:eastAsia="Times New Roman" w:hAnsi="Calibri" w:cs="Calibri"/>
          <w:color w:val="000000"/>
        </w:rPr>
      </w:pPr>
      <w:r w:rsidRPr="00647B79">
        <w:rPr>
          <w:rFonts w:ascii="Calibri" w:eastAsia="Times New Roman" w:hAnsi="Calibri" w:cs="Calibri"/>
          <w:color w:val="000000"/>
        </w:rPr>
        <w:t xml:space="preserve">If you are unhappy about any </w:t>
      </w:r>
      <w:r>
        <w:rPr>
          <w:rFonts w:ascii="Calibri" w:eastAsia="Times New Roman" w:hAnsi="Calibri" w:cs="Calibri"/>
          <w:color w:val="000000"/>
        </w:rPr>
        <w:t>BHC</w:t>
      </w:r>
      <w:r w:rsidRPr="00647B79">
        <w:rPr>
          <w:rFonts w:ascii="Calibri" w:eastAsia="Times New Roman" w:hAnsi="Calibri" w:cs="Calibri"/>
          <w:color w:val="000000"/>
        </w:rPr>
        <w:t xml:space="preserve"> service, or the way you have been treated by a member of </w:t>
      </w:r>
      <w:r>
        <w:rPr>
          <w:rFonts w:ascii="Calibri" w:eastAsia="Times New Roman" w:hAnsi="Calibri" w:cs="Calibri"/>
          <w:color w:val="000000"/>
        </w:rPr>
        <w:t>BHC</w:t>
      </w:r>
      <w:r w:rsidRPr="00647B79">
        <w:rPr>
          <w:rFonts w:ascii="Calibri" w:eastAsia="Times New Roman" w:hAnsi="Calibri" w:cs="Calibri"/>
          <w:color w:val="000000"/>
        </w:rPr>
        <w:t>’s staff or a centre volunteer, please raise this issue with the person concerned in the first instance.</w:t>
      </w:r>
    </w:p>
    <w:p w14:paraId="08ABD9D9" w14:textId="77777777" w:rsidR="00647B79" w:rsidRPr="00647B79" w:rsidRDefault="00647B79" w:rsidP="00647B79">
      <w:pPr>
        <w:spacing w:line="240" w:lineRule="auto"/>
        <w:rPr>
          <w:rFonts w:ascii="Calibri" w:eastAsia="Times New Roman" w:hAnsi="Calibri" w:cs="Calibri"/>
        </w:rPr>
      </w:pPr>
    </w:p>
    <w:p w14:paraId="43D10F68" w14:textId="77777777" w:rsidR="00647B79" w:rsidRPr="00647B79" w:rsidRDefault="00647B79" w:rsidP="00647B79">
      <w:pPr>
        <w:numPr>
          <w:ilvl w:val="0"/>
          <w:numId w:val="10"/>
        </w:numPr>
        <w:spacing w:line="240" w:lineRule="auto"/>
        <w:ind w:left="360"/>
        <w:textAlignment w:val="baseline"/>
        <w:rPr>
          <w:rFonts w:ascii="Calibri" w:eastAsia="Times New Roman" w:hAnsi="Calibri" w:cs="Calibri"/>
          <w:color w:val="000000"/>
        </w:rPr>
      </w:pPr>
      <w:r w:rsidRPr="00647B79">
        <w:rPr>
          <w:rFonts w:ascii="Calibri" w:eastAsia="Times New Roman" w:hAnsi="Calibri" w:cs="Calibri"/>
          <w:color w:val="000000"/>
        </w:rPr>
        <w:t>If you do not feel that it is appropriate to talk directly to the staff member or volunteer concerned you can contact another staff member or the Chair or Secretary of the board of trustees.</w:t>
      </w:r>
    </w:p>
    <w:p w14:paraId="4648DDC0" w14:textId="77777777" w:rsidR="00647B79" w:rsidRPr="00647B79" w:rsidRDefault="00647B79" w:rsidP="00647B79">
      <w:pPr>
        <w:spacing w:line="240" w:lineRule="auto"/>
        <w:rPr>
          <w:rFonts w:ascii="Calibri" w:eastAsia="Times New Roman" w:hAnsi="Calibri" w:cs="Calibri"/>
        </w:rPr>
      </w:pPr>
    </w:p>
    <w:p w14:paraId="746FE7D6" w14:textId="77777777"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You can submit your complaint in any of the following ways:</w:t>
      </w:r>
    </w:p>
    <w:p w14:paraId="041DFBD3" w14:textId="77777777" w:rsidR="00647B79" w:rsidRPr="00647B79" w:rsidRDefault="00647B79" w:rsidP="00647B79">
      <w:pPr>
        <w:numPr>
          <w:ilvl w:val="0"/>
          <w:numId w:val="11"/>
        </w:numPr>
        <w:spacing w:line="240" w:lineRule="auto"/>
        <w:ind w:left="360"/>
        <w:textAlignment w:val="baseline"/>
        <w:rPr>
          <w:rFonts w:ascii="Calibri" w:eastAsia="Times New Roman" w:hAnsi="Calibri" w:cs="Calibri"/>
          <w:color w:val="000000"/>
        </w:rPr>
      </w:pPr>
      <w:r w:rsidRPr="00647B79">
        <w:rPr>
          <w:rFonts w:ascii="Calibri" w:eastAsia="Times New Roman" w:hAnsi="Calibri" w:cs="Calibri"/>
          <w:color w:val="000000"/>
        </w:rPr>
        <w:t>You can record the details of your complaint on form at the end of this document;</w:t>
      </w:r>
    </w:p>
    <w:p w14:paraId="0D528387" w14:textId="77777777" w:rsidR="00647B79" w:rsidRPr="00647B79" w:rsidRDefault="00647B79" w:rsidP="00647B79">
      <w:pPr>
        <w:numPr>
          <w:ilvl w:val="0"/>
          <w:numId w:val="11"/>
        </w:numPr>
        <w:spacing w:line="240" w:lineRule="auto"/>
        <w:ind w:left="360"/>
        <w:textAlignment w:val="baseline"/>
        <w:rPr>
          <w:rFonts w:ascii="Calibri" w:eastAsia="Times New Roman" w:hAnsi="Calibri" w:cs="Calibri"/>
          <w:color w:val="000000"/>
        </w:rPr>
      </w:pPr>
      <w:r w:rsidRPr="00647B79">
        <w:rPr>
          <w:rFonts w:ascii="Calibri" w:eastAsia="Times New Roman" w:hAnsi="Calibri" w:cs="Calibri"/>
          <w:color w:val="000000"/>
        </w:rPr>
        <w:t>You can write a separate letter;</w:t>
      </w:r>
    </w:p>
    <w:p w14:paraId="318C9C86" w14:textId="77777777" w:rsidR="00647B79" w:rsidRPr="00647B79" w:rsidRDefault="00647B79" w:rsidP="00647B79">
      <w:pPr>
        <w:numPr>
          <w:ilvl w:val="0"/>
          <w:numId w:val="11"/>
        </w:numPr>
        <w:spacing w:line="240" w:lineRule="auto"/>
        <w:ind w:left="360"/>
        <w:textAlignment w:val="baseline"/>
        <w:rPr>
          <w:rFonts w:ascii="Calibri" w:eastAsia="Times New Roman" w:hAnsi="Calibri" w:cs="Calibri"/>
          <w:color w:val="000000"/>
        </w:rPr>
      </w:pPr>
      <w:r w:rsidRPr="00647B79">
        <w:rPr>
          <w:rFonts w:ascii="Calibri" w:eastAsia="Times New Roman" w:hAnsi="Calibri" w:cs="Calibri"/>
          <w:color w:val="000000"/>
        </w:rPr>
        <w:t>You can send an e-mail; or</w:t>
      </w:r>
    </w:p>
    <w:p w14:paraId="7A5D8948" w14:textId="39F53E4B" w:rsidR="00647B79" w:rsidRPr="00647B79" w:rsidRDefault="00647B79" w:rsidP="00647B79">
      <w:pPr>
        <w:numPr>
          <w:ilvl w:val="0"/>
          <w:numId w:val="11"/>
        </w:numPr>
        <w:spacing w:line="240" w:lineRule="auto"/>
        <w:ind w:left="360"/>
        <w:textAlignment w:val="baseline"/>
        <w:rPr>
          <w:rFonts w:ascii="Calibri" w:eastAsia="Times New Roman" w:hAnsi="Calibri" w:cs="Calibri"/>
          <w:color w:val="000000"/>
        </w:rPr>
      </w:pPr>
      <w:r w:rsidRPr="00647B79">
        <w:rPr>
          <w:rFonts w:ascii="Calibri" w:eastAsia="Times New Roman" w:hAnsi="Calibri" w:cs="Calibri"/>
          <w:color w:val="000000"/>
        </w:rPr>
        <w:t xml:space="preserve">You can telephone the </w:t>
      </w:r>
      <w:r>
        <w:rPr>
          <w:rFonts w:ascii="Calibri" w:eastAsia="Times New Roman" w:hAnsi="Calibri" w:cs="Calibri"/>
          <w:color w:val="000000"/>
        </w:rPr>
        <w:t>BHC</w:t>
      </w:r>
      <w:r w:rsidRPr="00647B79">
        <w:rPr>
          <w:rFonts w:ascii="Calibri" w:eastAsia="Times New Roman" w:hAnsi="Calibri" w:cs="Calibri"/>
          <w:color w:val="000000"/>
        </w:rPr>
        <w:t xml:space="preserve"> office.</w:t>
      </w:r>
    </w:p>
    <w:p w14:paraId="71688FBB" w14:textId="77777777" w:rsidR="00647B79" w:rsidRPr="00647B79" w:rsidRDefault="00647B79" w:rsidP="00647B79">
      <w:pPr>
        <w:spacing w:line="240" w:lineRule="auto"/>
        <w:rPr>
          <w:rFonts w:ascii="Calibri" w:eastAsia="Times New Roman" w:hAnsi="Calibri" w:cs="Calibri"/>
        </w:rPr>
      </w:pPr>
    </w:p>
    <w:p w14:paraId="535EED72" w14:textId="77777777"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 xml:space="preserve">Broomhall Centre’s contact details are shown below. </w:t>
      </w:r>
    </w:p>
    <w:p w14:paraId="7BC819A2" w14:textId="77777777" w:rsidR="00647B79" w:rsidRPr="00647B79" w:rsidRDefault="00647B79" w:rsidP="00647B79">
      <w:pPr>
        <w:spacing w:line="240" w:lineRule="auto"/>
        <w:rPr>
          <w:rFonts w:ascii="Calibri" w:eastAsia="Times New Roman" w:hAnsi="Calibri" w:cs="Calibri"/>
        </w:rPr>
      </w:pPr>
    </w:p>
    <w:p w14:paraId="468C5948" w14:textId="77777777"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Often we will be able to give you a response straight away. When the matter is more complicated we will give you at least an initial response within two weeks of receiving your complaint.</w:t>
      </w:r>
    </w:p>
    <w:tbl>
      <w:tblPr>
        <w:tblW w:w="0" w:type="auto"/>
        <w:tblCellMar>
          <w:top w:w="15" w:type="dxa"/>
          <w:left w:w="15" w:type="dxa"/>
          <w:bottom w:w="15" w:type="dxa"/>
          <w:right w:w="15" w:type="dxa"/>
        </w:tblCellMar>
        <w:tblLook w:val="04A0" w:firstRow="1" w:lastRow="0" w:firstColumn="1" w:lastColumn="0" w:noHBand="0" w:noVBand="1"/>
      </w:tblPr>
      <w:tblGrid>
        <w:gridCol w:w="9593"/>
      </w:tblGrid>
      <w:tr w:rsidR="00647B79" w:rsidRPr="00647B79" w14:paraId="48E53427" w14:textId="77777777" w:rsidTr="00647B79">
        <w:trPr>
          <w:trHeight w:val="600"/>
        </w:trPr>
        <w:tc>
          <w:tcPr>
            <w:tcW w:w="0" w:type="auto"/>
            <w:shd w:val="clear" w:color="auto" w:fill="FFFFFF"/>
            <w:tcMar>
              <w:top w:w="0" w:type="dxa"/>
              <w:left w:w="115" w:type="dxa"/>
              <w:bottom w:w="0" w:type="dxa"/>
              <w:right w:w="115" w:type="dxa"/>
            </w:tcMar>
            <w:vAlign w:val="center"/>
            <w:hideMark/>
          </w:tcPr>
          <w:p w14:paraId="5E499BA7" w14:textId="77777777"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b/>
                <w:bCs/>
                <w:color w:val="000000"/>
              </w:rPr>
              <w:t>HOW TO CONTACT THE BROOMHALL CENTRE:</w:t>
            </w:r>
          </w:p>
        </w:tc>
      </w:tr>
      <w:tr w:rsidR="00647B79" w:rsidRPr="00647B79" w14:paraId="5C6625B6" w14:textId="77777777" w:rsidTr="00647B79">
        <w:trPr>
          <w:trHeight w:val="680"/>
        </w:trPr>
        <w:tc>
          <w:tcPr>
            <w:tcW w:w="0" w:type="auto"/>
            <w:shd w:val="clear" w:color="auto" w:fill="FFFFFF"/>
            <w:tcMar>
              <w:top w:w="0" w:type="dxa"/>
              <w:left w:w="115" w:type="dxa"/>
              <w:bottom w:w="0" w:type="dxa"/>
              <w:right w:w="115" w:type="dxa"/>
            </w:tcMar>
            <w:vAlign w:val="center"/>
            <w:hideMark/>
          </w:tcPr>
          <w:p w14:paraId="1C0E97E2" w14:textId="77777777"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 xml:space="preserve">In writing to: Centre Worker, Board Chair or Board Secretary as appropriate, </w:t>
            </w:r>
          </w:p>
          <w:p w14:paraId="76E5792A" w14:textId="54201FC3"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Broomhall Centre, Broomspring Lane, Sheffield, S10 2FD</w:t>
            </w:r>
          </w:p>
        </w:tc>
      </w:tr>
      <w:tr w:rsidR="00647B79" w:rsidRPr="00647B79" w14:paraId="7D925C4B" w14:textId="77777777" w:rsidTr="00C91CE8">
        <w:trPr>
          <w:trHeight w:val="361"/>
        </w:trPr>
        <w:tc>
          <w:tcPr>
            <w:tcW w:w="0" w:type="auto"/>
            <w:shd w:val="clear" w:color="auto" w:fill="FFFFFF"/>
            <w:tcMar>
              <w:top w:w="0" w:type="dxa"/>
              <w:left w:w="115" w:type="dxa"/>
              <w:bottom w:w="0" w:type="dxa"/>
              <w:right w:w="115" w:type="dxa"/>
            </w:tcMar>
            <w:vAlign w:val="center"/>
            <w:hideMark/>
          </w:tcPr>
          <w:p w14:paraId="55C18EDB" w14:textId="1DB19CEA" w:rsidR="00647B79" w:rsidRPr="00647B79" w:rsidRDefault="00C91CE8" w:rsidP="00C91CE8">
            <w:pPr>
              <w:spacing w:line="240" w:lineRule="auto"/>
              <w:rPr>
                <w:rFonts w:ascii="Calibri" w:eastAsia="Times New Roman" w:hAnsi="Calibri" w:cs="Calibri"/>
              </w:rPr>
            </w:pPr>
            <w:r>
              <w:rPr>
                <w:rFonts w:ascii="Calibri" w:eastAsia="Times New Roman" w:hAnsi="Calibri" w:cs="Calibri"/>
              </w:rPr>
              <w:t xml:space="preserve">Telephone: </w:t>
            </w:r>
            <w:r w:rsidRPr="00647B79">
              <w:rPr>
                <w:rFonts w:ascii="Calibri" w:eastAsia="Times New Roman" w:hAnsi="Calibri" w:cs="Calibri"/>
                <w:color w:val="000000"/>
              </w:rPr>
              <w:t>(0114) 2729105</w:t>
            </w:r>
            <w:r>
              <w:rPr>
                <w:rFonts w:ascii="Calibri" w:eastAsia="Times New Roman" w:hAnsi="Calibri" w:cs="Calibri"/>
                <w:color w:val="000000"/>
              </w:rPr>
              <w:t xml:space="preserve"> </w:t>
            </w:r>
          </w:p>
        </w:tc>
      </w:tr>
      <w:tr w:rsidR="00647B79" w:rsidRPr="00647B79" w14:paraId="55CAB2C8" w14:textId="77777777" w:rsidTr="00C91CE8">
        <w:trPr>
          <w:trHeight w:val="229"/>
        </w:trPr>
        <w:tc>
          <w:tcPr>
            <w:tcW w:w="0" w:type="auto"/>
            <w:shd w:val="clear" w:color="auto" w:fill="FFFFFF"/>
            <w:tcMar>
              <w:top w:w="0" w:type="dxa"/>
              <w:left w:w="115" w:type="dxa"/>
              <w:bottom w:w="0" w:type="dxa"/>
              <w:right w:w="115" w:type="dxa"/>
            </w:tcMar>
            <w:vAlign w:val="center"/>
            <w:hideMark/>
          </w:tcPr>
          <w:p w14:paraId="72EBA94C" w14:textId="0DE07359" w:rsidR="00647B79" w:rsidRPr="00647B79" w:rsidRDefault="00647B79" w:rsidP="00647B79">
            <w:pPr>
              <w:spacing w:line="240" w:lineRule="auto"/>
              <w:rPr>
                <w:rFonts w:ascii="Calibri" w:eastAsia="Times New Roman" w:hAnsi="Calibri" w:cs="Calibri"/>
              </w:rPr>
            </w:pPr>
            <w:r w:rsidRPr="00647B79">
              <w:rPr>
                <w:rFonts w:ascii="Calibri" w:eastAsia="Times New Roman" w:hAnsi="Calibri" w:cs="Calibri"/>
                <w:color w:val="000000"/>
              </w:rPr>
              <w:t>e-mail</w:t>
            </w:r>
            <w:r w:rsidR="00C91CE8">
              <w:rPr>
                <w:rFonts w:ascii="Calibri" w:eastAsia="Times New Roman" w:hAnsi="Calibri" w:cs="Calibri"/>
                <w:color w:val="000000"/>
              </w:rPr>
              <w:t>:</w:t>
            </w:r>
            <w:r w:rsidRPr="00647B79">
              <w:rPr>
                <w:rFonts w:ascii="Calibri" w:eastAsia="Times New Roman" w:hAnsi="Calibri" w:cs="Calibri"/>
                <w:color w:val="000000"/>
              </w:rPr>
              <w:t xml:space="preserve"> </w:t>
            </w:r>
            <w:bookmarkStart w:id="0" w:name="_Hlk5717790"/>
            <w:r w:rsidR="00494F1A">
              <w:rPr>
                <w:rFonts w:ascii="Calibri" w:eastAsia="Times New Roman" w:hAnsi="Calibri" w:cs="Calibri"/>
                <w:color w:val="0000FF"/>
                <w:u w:val="single"/>
              </w:rPr>
              <w:fldChar w:fldCharType="begin"/>
            </w:r>
            <w:r w:rsidR="00494F1A">
              <w:rPr>
                <w:rFonts w:ascii="Calibri" w:eastAsia="Times New Roman" w:hAnsi="Calibri" w:cs="Calibri"/>
                <w:color w:val="0000FF"/>
                <w:u w:val="single"/>
              </w:rPr>
              <w:instrText xml:space="preserve"> HYPERLINK "mailto:</w:instrText>
            </w:r>
            <w:r w:rsidR="00494F1A" w:rsidRPr="00647B79">
              <w:rPr>
                <w:rFonts w:ascii="Calibri" w:eastAsia="Times New Roman" w:hAnsi="Calibri" w:cs="Calibri"/>
                <w:color w:val="0000FF"/>
                <w:u w:val="single"/>
              </w:rPr>
              <w:instrText>b</w:instrText>
            </w:r>
            <w:r w:rsidR="00494F1A">
              <w:rPr>
                <w:rFonts w:ascii="Calibri" w:eastAsia="Times New Roman" w:hAnsi="Calibri" w:cs="Calibri"/>
                <w:color w:val="0000FF"/>
                <w:u w:val="single"/>
              </w:rPr>
              <w:instrText>ookings</w:instrText>
            </w:r>
            <w:r w:rsidR="00494F1A" w:rsidRPr="00647B79">
              <w:rPr>
                <w:rFonts w:ascii="Calibri" w:eastAsia="Times New Roman" w:hAnsi="Calibri" w:cs="Calibri"/>
                <w:color w:val="0000FF"/>
                <w:u w:val="single"/>
              </w:rPr>
              <w:instrText>@broomhallcentre.com</w:instrText>
            </w:r>
            <w:r w:rsidR="00494F1A">
              <w:rPr>
                <w:rFonts w:ascii="Calibri" w:eastAsia="Times New Roman" w:hAnsi="Calibri" w:cs="Calibri"/>
                <w:color w:val="0000FF"/>
                <w:u w:val="single"/>
              </w:rPr>
              <w:instrText xml:space="preserve">" </w:instrText>
            </w:r>
            <w:r w:rsidR="00494F1A">
              <w:rPr>
                <w:rFonts w:ascii="Calibri" w:eastAsia="Times New Roman" w:hAnsi="Calibri" w:cs="Calibri"/>
                <w:color w:val="0000FF"/>
                <w:u w:val="single"/>
              </w:rPr>
              <w:fldChar w:fldCharType="separate"/>
            </w:r>
            <w:r w:rsidR="00494F1A" w:rsidRPr="000B316F">
              <w:rPr>
                <w:rStyle w:val="Hyperlink"/>
                <w:rFonts w:ascii="Calibri" w:eastAsia="Times New Roman" w:hAnsi="Calibri" w:cs="Calibri"/>
              </w:rPr>
              <w:t>bookings@broomhallcentre.com</w:t>
            </w:r>
            <w:r w:rsidR="00494F1A">
              <w:rPr>
                <w:rFonts w:ascii="Calibri" w:eastAsia="Times New Roman" w:hAnsi="Calibri" w:cs="Calibri"/>
                <w:color w:val="0000FF"/>
                <w:u w:val="single"/>
              </w:rPr>
              <w:fldChar w:fldCharType="end"/>
            </w:r>
            <w:r w:rsidRPr="00647B79">
              <w:rPr>
                <w:rFonts w:ascii="Calibri" w:eastAsia="Times New Roman" w:hAnsi="Calibri" w:cs="Calibri"/>
                <w:color w:val="000000"/>
              </w:rPr>
              <w:t xml:space="preserve">, </w:t>
            </w:r>
            <w:hyperlink r:id="rId8" w:history="1">
              <w:r w:rsidRPr="00647B79">
                <w:rPr>
                  <w:rFonts w:ascii="Calibri" w:eastAsia="Times New Roman" w:hAnsi="Calibri" w:cs="Calibri"/>
                  <w:color w:val="0000FF"/>
                  <w:u w:val="single"/>
                </w:rPr>
                <w:t>chair@broomhallcentre.com</w:t>
              </w:r>
            </w:hyperlink>
            <w:r w:rsidRPr="00647B79">
              <w:rPr>
                <w:rFonts w:ascii="Calibri" w:eastAsia="Times New Roman" w:hAnsi="Calibri" w:cs="Calibri"/>
                <w:color w:val="000000"/>
              </w:rPr>
              <w:t>,</w:t>
            </w:r>
            <w:r w:rsidR="00494F1A">
              <w:rPr>
                <w:rFonts w:ascii="Calibri" w:eastAsia="Times New Roman" w:hAnsi="Calibri" w:cs="Calibri"/>
                <w:color w:val="000000"/>
              </w:rPr>
              <w:t xml:space="preserve"> </w:t>
            </w:r>
            <w:hyperlink r:id="rId9" w:history="1">
              <w:r w:rsidRPr="00647B79">
                <w:rPr>
                  <w:rFonts w:ascii="Calibri" w:eastAsia="Times New Roman" w:hAnsi="Calibri" w:cs="Calibri"/>
                  <w:color w:val="0000FF"/>
                  <w:u w:val="single"/>
                </w:rPr>
                <w:t>secretary@broomhallcentre.com</w:t>
              </w:r>
            </w:hyperlink>
            <w:bookmarkEnd w:id="0"/>
            <w:r w:rsidRPr="00647B79">
              <w:rPr>
                <w:rFonts w:ascii="Calibri" w:eastAsia="Times New Roman" w:hAnsi="Calibri" w:cs="Calibri"/>
                <w:color w:val="000000"/>
              </w:rPr>
              <w:t xml:space="preserve"> </w:t>
            </w:r>
          </w:p>
        </w:tc>
      </w:tr>
    </w:tbl>
    <w:p w14:paraId="26A30C34" w14:textId="403D85BF" w:rsidR="00647B79" w:rsidRPr="00647B79" w:rsidRDefault="00647B79" w:rsidP="00647B79">
      <w:pPr>
        <w:pStyle w:val="Heading1"/>
      </w:pPr>
      <w:r w:rsidRPr="00647B79">
        <w:t>Complaints Procedure – Resolution</w:t>
      </w:r>
      <w:bookmarkStart w:id="1" w:name="_GoBack"/>
      <w:bookmarkEnd w:id="1"/>
    </w:p>
    <w:p w14:paraId="2A42EA3B" w14:textId="77777777" w:rsidR="00647B79" w:rsidRPr="00647B79" w:rsidRDefault="00647B79" w:rsidP="00647B79">
      <w:pPr>
        <w:pStyle w:val="Heading1"/>
        <w:numPr>
          <w:ilvl w:val="0"/>
          <w:numId w:val="14"/>
        </w:numPr>
      </w:pPr>
      <w:r w:rsidRPr="00647B79">
        <w:t>Receiving Complaints</w:t>
      </w:r>
    </w:p>
    <w:p w14:paraId="64209E71" w14:textId="77777777" w:rsidR="00647B79" w:rsidRPr="00647B79" w:rsidRDefault="00647B79" w:rsidP="00647B79">
      <w:pPr>
        <w:spacing w:line="240" w:lineRule="auto"/>
        <w:ind w:left="360"/>
        <w:rPr>
          <w:rFonts w:ascii="Calibri" w:eastAsia="Times New Roman" w:hAnsi="Calibri" w:cs="Calibri"/>
        </w:rPr>
      </w:pPr>
      <w:r w:rsidRPr="00647B79">
        <w:rPr>
          <w:rFonts w:ascii="Calibri" w:eastAsia="Times New Roman" w:hAnsi="Calibri" w:cs="Calibri"/>
          <w:color w:val="000000"/>
        </w:rPr>
        <w:t>Complaints may arrive through channels publicised for that purpose or through any other contact details or opportunities the complainant may have.</w:t>
      </w:r>
    </w:p>
    <w:p w14:paraId="526B3A0E" w14:textId="77777777" w:rsidR="00647B79" w:rsidRPr="00647B79" w:rsidRDefault="00647B79" w:rsidP="00647B79">
      <w:pPr>
        <w:spacing w:before="120" w:line="240" w:lineRule="auto"/>
        <w:ind w:left="360"/>
        <w:rPr>
          <w:rFonts w:ascii="Calibri" w:eastAsia="Times New Roman" w:hAnsi="Calibri" w:cs="Calibri"/>
        </w:rPr>
      </w:pPr>
      <w:r w:rsidRPr="00647B79">
        <w:rPr>
          <w:rFonts w:ascii="Calibri" w:eastAsia="Times New Roman" w:hAnsi="Calibri" w:cs="Calibri"/>
          <w:color w:val="000000"/>
        </w:rPr>
        <w:t>Complaints received by telephone or in person need to be recorded.</w:t>
      </w:r>
    </w:p>
    <w:p w14:paraId="769EFF3A" w14:textId="77777777" w:rsidR="00647B79" w:rsidRPr="00647B79" w:rsidRDefault="00647B79" w:rsidP="00647B79">
      <w:pPr>
        <w:spacing w:line="240" w:lineRule="auto"/>
        <w:ind w:left="360"/>
        <w:rPr>
          <w:rFonts w:ascii="Calibri" w:eastAsia="Times New Roman" w:hAnsi="Calibri" w:cs="Calibri"/>
        </w:rPr>
      </w:pPr>
      <w:r w:rsidRPr="00647B79">
        <w:rPr>
          <w:rFonts w:ascii="Calibri" w:eastAsia="Times New Roman" w:hAnsi="Calibri" w:cs="Calibri"/>
          <w:color w:val="000000"/>
        </w:rPr>
        <w:t>The person who receives a phone or in person complaint should:</w:t>
      </w:r>
    </w:p>
    <w:p w14:paraId="4CB25399" w14:textId="77777777" w:rsidR="00647B79" w:rsidRPr="00647B79" w:rsidRDefault="00647B79" w:rsidP="00647B79">
      <w:pPr>
        <w:numPr>
          <w:ilvl w:val="0"/>
          <w:numId w:val="12"/>
        </w:numPr>
        <w:tabs>
          <w:tab w:val="clear" w:pos="720"/>
          <w:tab w:val="num" w:pos="1080"/>
        </w:tabs>
        <w:spacing w:line="240" w:lineRule="auto"/>
        <w:ind w:left="1080"/>
        <w:textAlignment w:val="baseline"/>
        <w:rPr>
          <w:rFonts w:ascii="Calibri" w:eastAsia="Times New Roman" w:hAnsi="Calibri" w:cs="Calibri"/>
          <w:color w:val="000000"/>
        </w:rPr>
      </w:pPr>
      <w:r w:rsidRPr="00647B79">
        <w:rPr>
          <w:rFonts w:ascii="Calibri" w:eastAsia="Times New Roman" w:hAnsi="Calibri" w:cs="Calibri"/>
          <w:color w:val="000000"/>
        </w:rPr>
        <w:t>Write down the facts of the complaint</w:t>
      </w:r>
    </w:p>
    <w:p w14:paraId="703DF46A" w14:textId="77777777" w:rsidR="00647B79" w:rsidRPr="00647B79" w:rsidRDefault="00647B79" w:rsidP="00647B79">
      <w:pPr>
        <w:numPr>
          <w:ilvl w:val="0"/>
          <w:numId w:val="12"/>
        </w:numPr>
        <w:tabs>
          <w:tab w:val="clear" w:pos="720"/>
          <w:tab w:val="num" w:pos="1080"/>
        </w:tabs>
        <w:spacing w:line="240" w:lineRule="auto"/>
        <w:ind w:left="1080"/>
        <w:textAlignment w:val="baseline"/>
        <w:rPr>
          <w:rFonts w:ascii="Calibri" w:eastAsia="Times New Roman" w:hAnsi="Calibri" w:cs="Calibri"/>
          <w:color w:val="000000"/>
        </w:rPr>
      </w:pPr>
      <w:r w:rsidRPr="00647B79">
        <w:rPr>
          <w:rFonts w:ascii="Calibri" w:eastAsia="Times New Roman" w:hAnsi="Calibri" w:cs="Calibri"/>
          <w:color w:val="000000"/>
        </w:rPr>
        <w:t>Take the complainant's name, address and telephone number</w:t>
      </w:r>
    </w:p>
    <w:p w14:paraId="13D66C90" w14:textId="58EFE244" w:rsidR="00647B79" w:rsidRPr="00647B79" w:rsidRDefault="00647B79" w:rsidP="00647B79">
      <w:pPr>
        <w:numPr>
          <w:ilvl w:val="0"/>
          <w:numId w:val="12"/>
        </w:numPr>
        <w:tabs>
          <w:tab w:val="clear" w:pos="720"/>
          <w:tab w:val="num" w:pos="1080"/>
        </w:tabs>
        <w:spacing w:line="240" w:lineRule="auto"/>
        <w:ind w:left="1080"/>
        <w:textAlignment w:val="baseline"/>
        <w:rPr>
          <w:rFonts w:ascii="Calibri" w:eastAsia="Times New Roman" w:hAnsi="Calibri" w:cs="Calibri"/>
          <w:color w:val="000000"/>
        </w:rPr>
      </w:pPr>
      <w:r w:rsidRPr="00647B79">
        <w:rPr>
          <w:rFonts w:ascii="Calibri" w:eastAsia="Times New Roman" w:hAnsi="Calibri" w:cs="Calibri"/>
          <w:color w:val="000000"/>
        </w:rPr>
        <w:t xml:space="preserve">Note down the relationship of the complainant to </w:t>
      </w:r>
      <w:r>
        <w:rPr>
          <w:rFonts w:ascii="Calibri" w:eastAsia="Times New Roman" w:hAnsi="Calibri" w:cs="Calibri"/>
          <w:color w:val="000000"/>
        </w:rPr>
        <w:t>BHC</w:t>
      </w:r>
      <w:r w:rsidRPr="00647B79">
        <w:rPr>
          <w:rFonts w:ascii="Calibri" w:eastAsia="Times New Roman" w:hAnsi="Calibri" w:cs="Calibri"/>
          <w:color w:val="000000"/>
        </w:rPr>
        <w:t xml:space="preserve"> (for example: client, member)</w:t>
      </w:r>
    </w:p>
    <w:p w14:paraId="240F9313" w14:textId="77777777" w:rsidR="00647B79" w:rsidRPr="00647B79" w:rsidRDefault="00647B79" w:rsidP="00647B79">
      <w:pPr>
        <w:numPr>
          <w:ilvl w:val="0"/>
          <w:numId w:val="12"/>
        </w:numPr>
        <w:tabs>
          <w:tab w:val="clear" w:pos="720"/>
          <w:tab w:val="num" w:pos="1080"/>
        </w:tabs>
        <w:spacing w:line="240" w:lineRule="auto"/>
        <w:ind w:left="1080"/>
        <w:textAlignment w:val="baseline"/>
        <w:rPr>
          <w:rFonts w:ascii="Calibri" w:eastAsia="Times New Roman" w:hAnsi="Calibri" w:cs="Calibri"/>
          <w:color w:val="000000"/>
        </w:rPr>
      </w:pPr>
      <w:r w:rsidRPr="00647B79">
        <w:rPr>
          <w:rFonts w:ascii="Calibri" w:eastAsia="Times New Roman" w:hAnsi="Calibri" w:cs="Calibri"/>
          <w:color w:val="000000"/>
        </w:rPr>
        <w:t>Tell the complainant that we have a complaints procedure</w:t>
      </w:r>
    </w:p>
    <w:p w14:paraId="048A13AD" w14:textId="77777777" w:rsidR="00647B79" w:rsidRPr="00647B79" w:rsidRDefault="00647B79" w:rsidP="00647B79">
      <w:pPr>
        <w:numPr>
          <w:ilvl w:val="0"/>
          <w:numId w:val="12"/>
        </w:numPr>
        <w:tabs>
          <w:tab w:val="clear" w:pos="720"/>
          <w:tab w:val="num" w:pos="1080"/>
        </w:tabs>
        <w:spacing w:line="240" w:lineRule="auto"/>
        <w:ind w:left="1080"/>
        <w:textAlignment w:val="baseline"/>
        <w:rPr>
          <w:rFonts w:ascii="Calibri" w:eastAsia="Times New Roman" w:hAnsi="Calibri" w:cs="Calibri"/>
          <w:color w:val="000000"/>
        </w:rPr>
      </w:pPr>
      <w:r w:rsidRPr="00647B79">
        <w:rPr>
          <w:rFonts w:ascii="Calibri" w:eastAsia="Times New Roman" w:hAnsi="Calibri" w:cs="Calibri"/>
          <w:color w:val="000000"/>
        </w:rPr>
        <w:t>Tell the complainant what will happen next and how long it will take</w:t>
      </w:r>
    </w:p>
    <w:p w14:paraId="40218A2C" w14:textId="77777777" w:rsidR="00647B79" w:rsidRPr="00647B79" w:rsidRDefault="00647B79" w:rsidP="00647B79">
      <w:pPr>
        <w:numPr>
          <w:ilvl w:val="0"/>
          <w:numId w:val="12"/>
        </w:numPr>
        <w:tabs>
          <w:tab w:val="clear" w:pos="720"/>
          <w:tab w:val="num" w:pos="1080"/>
        </w:tabs>
        <w:spacing w:line="240" w:lineRule="auto"/>
        <w:ind w:left="1080"/>
        <w:textAlignment w:val="baseline"/>
        <w:rPr>
          <w:rFonts w:ascii="Calibri" w:eastAsia="Times New Roman" w:hAnsi="Calibri" w:cs="Calibri"/>
          <w:color w:val="000000"/>
        </w:rPr>
      </w:pPr>
      <w:r w:rsidRPr="00647B79">
        <w:rPr>
          <w:rFonts w:ascii="Calibri" w:eastAsia="Times New Roman" w:hAnsi="Calibri" w:cs="Calibri"/>
          <w:color w:val="000000"/>
        </w:rPr>
        <w:lastRenderedPageBreak/>
        <w:t>Where appropriate, ask the complainant to send a written account by post or by email so that the complaint is recorded in the complainant’s own words.</w:t>
      </w:r>
    </w:p>
    <w:p w14:paraId="6570CBE3" w14:textId="5CA9E7A6" w:rsidR="00647B79" w:rsidRPr="00647B79" w:rsidRDefault="00647B79" w:rsidP="00647B79">
      <w:pPr>
        <w:pStyle w:val="Heading1"/>
        <w:numPr>
          <w:ilvl w:val="0"/>
          <w:numId w:val="14"/>
        </w:numPr>
      </w:pPr>
      <w:r w:rsidRPr="00647B79">
        <w:t>Resolving Complaints</w:t>
      </w:r>
      <w:r>
        <w:t xml:space="preserve"> internally</w:t>
      </w:r>
    </w:p>
    <w:p w14:paraId="334A9FED" w14:textId="6C1D23EC" w:rsidR="00647B79" w:rsidRPr="00647B79" w:rsidRDefault="00647B79" w:rsidP="00647B79">
      <w:pPr>
        <w:spacing w:after="120" w:line="240" w:lineRule="auto"/>
        <w:ind w:left="426" w:hanging="426"/>
        <w:rPr>
          <w:rFonts w:ascii="Calibri" w:eastAsia="Times New Roman" w:hAnsi="Calibri" w:cs="Calibri"/>
        </w:rPr>
      </w:pPr>
      <w:r>
        <w:rPr>
          <w:rFonts w:ascii="Calibri" w:eastAsia="Times New Roman" w:hAnsi="Calibri" w:cs="Calibri"/>
          <w:color w:val="000000"/>
        </w:rPr>
        <w:t>BHC</w:t>
      </w:r>
      <w:r w:rsidRPr="00647B79">
        <w:rPr>
          <w:rFonts w:ascii="Calibri" w:eastAsia="Times New Roman" w:hAnsi="Calibri" w:cs="Calibri"/>
          <w:color w:val="000000"/>
        </w:rPr>
        <w:t xml:space="preserve"> has an internal two stage process for dealing with complaints</w:t>
      </w:r>
    </w:p>
    <w:p w14:paraId="50E6267B" w14:textId="77777777" w:rsidR="00647B79" w:rsidRPr="00647B79" w:rsidRDefault="00647B79" w:rsidP="00647B79">
      <w:pPr>
        <w:pStyle w:val="Heading1"/>
        <w:numPr>
          <w:ilvl w:val="1"/>
          <w:numId w:val="14"/>
        </w:numPr>
      </w:pPr>
      <w:r w:rsidRPr="00647B79">
        <w:t>Stage One</w:t>
      </w:r>
    </w:p>
    <w:p w14:paraId="285F1F4A" w14:textId="77777777" w:rsidR="00647B79" w:rsidRPr="00647B79" w:rsidRDefault="00647B79" w:rsidP="00647B79">
      <w:pPr>
        <w:spacing w:line="240" w:lineRule="auto"/>
        <w:ind w:left="426"/>
        <w:rPr>
          <w:rFonts w:ascii="Calibri" w:eastAsia="Times New Roman" w:hAnsi="Calibri" w:cs="Calibri"/>
        </w:rPr>
      </w:pPr>
      <w:r w:rsidRPr="00647B79">
        <w:rPr>
          <w:rFonts w:ascii="Calibri" w:eastAsia="Times New Roman" w:hAnsi="Calibri" w:cs="Calibri"/>
          <w:color w:val="000000"/>
        </w:rPr>
        <w:t>In most cases, a complaint is best resolved by the person responsible for the issue being complained about.  If the complaint has been received by that person, they may be able to resolve it swiftly. They should do so if possible and appropriate.</w:t>
      </w:r>
    </w:p>
    <w:p w14:paraId="64403538"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 xml:space="preserve">On receiving the complaint, the person receiving it records it in the complaints log and attempts to resolve it directly. </w:t>
      </w:r>
    </w:p>
    <w:p w14:paraId="0E468F4C"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 xml:space="preserve">Complaints should be acknowledged by the person handling the complaint within two weeks.  The acknowledgement should say who is dealing with the complaint and when the person complaining can expect a reply.  A copy of this </w:t>
      </w:r>
      <w:proofErr w:type="gramStart"/>
      <w:r w:rsidRPr="00647B79">
        <w:rPr>
          <w:rFonts w:ascii="Calibri" w:eastAsia="Times New Roman" w:hAnsi="Calibri" w:cs="Calibri"/>
          <w:color w:val="000000"/>
        </w:rPr>
        <w:t>complaints</w:t>
      </w:r>
      <w:proofErr w:type="gramEnd"/>
      <w:r w:rsidRPr="00647B79">
        <w:rPr>
          <w:rFonts w:ascii="Calibri" w:eastAsia="Times New Roman" w:hAnsi="Calibri" w:cs="Calibri"/>
          <w:color w:val="000000"/>
        </w:rPr>
        <w:t xml:space="preserve"> procedure should be attached.</w:t>
      </w:r>
    </w:p>
    <w:p w14:paraId="43F403F1"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If the complaint relates to a specific person, they should be informed and given a fair opportunity to respond.</w:t>
      </w:r>
    </w:p>
    <w:p w14:paraId="03480A46"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Ideally complainants should receive a definitive reply within four weeks.  If this is not possible because, for example, an investigation has not been fully completed, a progress report should be sent with an indication of when a full reply will be given.</w:t>
      </w:r>
    </w:p>
    <w:p w14:paraId="7DBECB1C"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Whether the complaint is justified or not, the reply to the complainant should describe the action taken to investigate the complaint, the conclusions from the investigation, and any action taken as a result of the complaint.</w:t>
      </w:r>
    </w:p>
    <w:p w14:paraId="08DA7F7C" w14:textId="77777777" w:rsidR="00647B79" w:rsidRPr="00647B79" w:rsidRDefault="00647B79" w:rsidP="00647B79">
      <w:pPr>
        <w:pStyle w:val="Heading1"/>
        <w:numPr>
          <w:ilvl w:val="1"/>
          <w:numId w:val="14"/>
        </w:numPr>
      </w:pPr>
      <w:r w:rsidRPr="00647B79">
        <w:t>Stage Two</w:t>
      </w:r>
    </w:p>
    <w:p w14:paraId="41595D36" w14:textId="77777777" w:rsidR="00647B79" w:rsidRPr="00647B79" w:rsidRDefault="00647B79" w:rsidP="00647B79">
      <w:pPr>
        <w:spacing w:line="240" w:lineRule="auto"/>
        <w:ind w:left="426"/>
        <w:rPr>
          <w:rFonts w:ascii="Calibri" w:eastAsia="Times New Roman" w:hAnsi="Calibri" w:cs="Calibri"/>
        </w:rPr>
      </w:pPr>
      <w:r w:rsidRPr="00647B79">
        <w:rPr>
          <w:rFonts w:ascii="Calibri" w:eastAsia="Times New Roman" w:hAnsi="Calibri" w:cs="Calibri"/>
          <w:color w:val="000000"/>
        </w:rPr>
        <w:t>If the complainant feels that the problem has not been satisfactorily resolved or cannot be dealt with at Stage One, they can request that the complaint is reviewed at Board level.  At this stage, the complaint will be passed to the Chair or Secretary of the board.</w:t>
      </w:r>
    </w:p>
    <w:p w14:paraId="1C59BE0E"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 xml:space="preserve">The request for Board level review should be acknowledged within two weeks of receiving it. The acknowledgement should say who will deal with the case and when the complainant can expect a reply. </w:t>
      </w:r>
    </w:p>
    <w:p w14:paraId="39DCE5F8"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The Chair or Secretary will request two, previously uninvolved, Board Members to consider the matter. This may involve reviewing the paperwork of the case and speaking with the person who dealt with the complaint at Stage One.</w:t>
      </w:r>
    </w:p>
    <w:p w14:paraId="6A6F2E7D"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If the complaint relates to a specific person, they should be informed and given a further opportunity to respond.</w:t>
      </w:r>
    </w:p>
    <w:p w14:paraId="4657519E"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The person who dealt with the original complaint at Stage One should be kept informed of what is happening.</w:t>
      </w:r>
    </w:p>
    <w:p w14:paraId="1EE2FCEE"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Ideally complainants should receive a definitive reply within four weeks.  If this is not possible because for example, an investigation has not been fully completed, a progress report should be sent with an indication of when a full reply will be given.</w:t>
      </w:r>
    </w:p>
    <w:p w14:paraId="050E0AD6"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lastRenderedPageBreak/>
        <w:t>Whether the complaint is upheld or not, the reply to the complainant should describe the action taken to investigate the complaint, the conclusions from the investigation, and any action taken as a result of the complaint.</w:t>
      </w:r>
    </w:p>
    <w:p w14:paraId="06C25517"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 xml:space="preserve">The decision taken at this stage is final, unless the Board decides it is appropriate to seek external assistance with resolution. </w:t>
      </w:r>
    </w:p>
    <w:p w14:paraId="06E3D64E" w14:textId="77777777" w:rsidR="00647B79" w:rsidRPr="00647B79" w:rsidRDefault="00647B79" w:rsidP="00647B79">
      <w:pPr>
        <w:pStyle w:val="Heading1"/>
        <w:numPr>
          <w:ilvl w:val="0"/>
          <w:numId w:val="14"/>
        </w:numPr>
      </w:pPr>
      <w:r w:rsidRPr="00647B79">
        <w:t>External Stage</w:t>
      </w:r>
    </w:p>
    <w:p w14:paraId="6DA12E9F"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 xml:space="preserve">As a registered charity any complainant can, at any time, contact the Charity Commission. </w:t>
      </w:r>
    </w:p>
    <w:p w14:paraId="5B86841E" w14:textId="77777777" w:rsidR="00647B79" w:rsidRPr="00647B79" w:rsidRDefault="00647B79" w:rsidP="00647B79">
      <w:pPr>
        <w:spacing w:before="120" w:line="240" w:lineRule="auto"/>
        <w:ind w:left="426"/>
        <w:rPr>
          <w:rFonts w:ascii="Calibri" w:eastAsia="Times New Roman" w:hAnsi="Calibri" w:cs="Calibri"/>
        </w:rPr>
      </w:pPr>
      <w:r w:rsidRPr="00647B79">
        <w:rPr>
          <w:rFonts w:ascii="Calibri" w:eastAsia="Times New Roman" w:hAnsi="Calibri" w:cs="Calibri"/>
          <w:color w:val="000000"/>
        </w:rPr>
        <w:t xml:space="preserve">Information about the kind of complaints the Commission can involve itself in can be found on their website at: </w:t>
      </w:r>
      <w:hyperlink r:id="rId10" w:history="1">
        <w:r w:rsidRPr="00647B79">
          <w:rPr>
            <w:rFonts w:ascii="Calibri" w:eastAsia="Times New Roman" w:hAnsi="Calibri" w:cs="Calibri"/>
            <w:color w:val="0000FF"/>
            <w:u w:val="single"/>
          </w:rPr>
          <w:t>www.charitycommission.gov.uk/publications/cc47.aspx</w:t>
        </w:r>
      </w:hyperlink>
      <w:r w:rsidRPr="00647B79">
        <w:rPr>
          <w:rFonts w:ascii="Calibri" w:eastAsia="Times New Roman" w:hAnsi="Calibri" w:cs="Calibri"/>
          <w:color w:val="000000"/>
        </w:rPr>
        <w:t xml:space="preserve"> </w:t>
      </w:r>
    </w:p>
    <w:p w14:paraId="52876490" w14:textId="77777777" w:rsidR="00647B79" w:rsidRPr="00647B79" w:rsidRDefault="00647B79" w:rsidP="00647B79">
      <w:pPr>
        <w:spacing w:line="240" w:lineRule="auto"/>
        <w:ind w:left="426"/>
        <w:rPr>
          <w:rFonts w:ascii="Calibri" w:eastAsia="Times New Roman" w:hAnsi="Calibri" w:cs="Calibri"/>
        </w:rPr>
      </w:pPr>
    </w:p>
    <w:p w14:paraId="2F29D735" w14:textId="77777777" w:rsidR="00647B79" w:rsidRPr="00647B79" w:rsidRDefault="00647B79" w:rsidP="00647B79">
      <w:pPr>
        <w:pStyle w:val="Heading1"/>
        <w:numPr>
          <w:ilvl w:val="0"/>
          <w:numId w:val="14"/>
        </w:numPr>
      </w:pPr>
      <w:r w:rsidRPr="00647B79">
        <w:t>Variation of the Complaints Procedure</w:t>
      </w:r>
    </w:p>
    <w:p w14:paraId="7331DF7F" w14:textId="77777777" w:rsidR="00647B79" w:rsidRPr="00647B79" w:rsidRDefault="00647B79" w:rsidP="00647B79">
      <w:pPr>
        <w:spacing w:line="240" w:lineRule="auto"/>
        <w:ind w:left="426"/>
        <w:rPr>
          <w:rFonts w:ascii="Calibri" w:eastAsia="Times New Roman" w:hAnsi="Calibri" w:cs="Calibri"/>
        </w:rPr>
      </w:pPr>
      <w:r w:rsidRPr="00647B79">
        <w:rPr>
          <w:rFonts w:ascii="Calibri" w:eastAsia="Times New Roman" w:hAnsi="Calibri" w:cs="Calibri"/>
          <w:color w:val="000000"/>
        </w:rPr>
        <w:t>The Board may vary the procedure for good reason.  This may be necessary to avoid a conflict of interest or over personalisation of issues.</w:t>
      </w:r>
    </w:p>
    <w:p w14:paraId="5B5803C5" w14:textId="77777777" w:rsidR="00647B79" w:rsidRPr="00647B79" w:rsidRDefault="00647B79" w:rsidP="00647B79">
      <w:pPr>
        <w:spacing w:line="240" w:lineRule="auto"/>
        <w:ind w:left="426"/>
        <w:rPr>
          <w:rFonts w:ascii="Calibri" w:eastAsia="Times New Roman" w:hAnsi="Calibri" w:cs="Calibri"/>
        </w:rPr>
      </w:pPr>
    </w:p>
    <w:p w14:paraId="5A95877D" w14:textId="77777777" w:rsidR="00647B79" w:rsidRPr="00647B79" w:rsidRDefault="00647B79" w:rsidP="00647B79">
      <w:pPr>
        <w:pStyle w:val="Heading1"/>
        <w:numPr>
          <w:ilvl w:val="0"/>
          <w:numId w:val="14"/>
        </w:numPr>
      </w:pPr>
      <w:r w:rsidRPr="00647B79">
        <w:t>Monitoring and Learning from Complaints</w:t>
      </w:r>
    </w:p>
    <w:p w14:paraId="357BA7F8" w14:textId="76996A7B" w:rsidR="00647B79" w:rsidRDefault="00647B79" w:rsidP="00647B79">
      <w:pPr>
        <w:spacing w:line="240" w:lineRule="auto"/>
        <w:ind w:left="426"/>
        <w:rPr>
          <w:rFonts w:ascii="Calibri" w:eastAsia="Times New Roman" w:hAnsi="Calibri" w:cs="Calibri"/>
          <w:color w:val="000000"/>
        </w:rPr>
      </w:pPr>
      <w:r w:rsidRPr="00647B79">
        <w:rPr>
          <w:rFonts w:ascii="Calibri" w:eastAsia="Times New Roman" w:hAnsi="Calibri" w:cs="Calibri"/>
          <w:color w:val="000000"/>
        </w:rPr>
        <w:t>Complaints are reviewed annually to identify any trends which may indicate a need to take further action.</w:t>
      </w:r>
    </w:p>
    <w:p w14:paraId="7696F2E8" w14:textId="17F1A2CC" w:rsidR="00647B79" w:rsidRDefault="00647B79" w:rsidP="00647B79">
      <w:pPr>
        <w:spacing w:line="240" w:lineRule="auto"/>
        <w:ind w:left="426"/>
        <w:rPr>
          <w:rFonts w:ascii="Calibri" w:eastAsia="Times New Roman" w:hAnsi="Calibri" w:cs="Calibri"/>
          <w:color w:val="000000"/>
        </w:rPr>
      </w:pPr>
    </w:p>
    <w:p w14:paraId="2BFF30F8" w14:textId="78067128" w:rsidR="00647B79" w:rsidRDefault="00647B79" w:rsidP="00647B79">
      <w:pPr>
        <w:spacing w:line="240" w:lineRule="auto"/>
        <w:ind w:left="426"/>
        <w:rPr>
          <w:rFonts w:ascii="Calibri" w:eastAsia="Times New Roman" w:hAnsi="Calibri" w:cs="Calibri"/>
          <w:color w:val="000000"/>
        </w:rPr>
      </w:pPr>
    </w:p>
    <w:p w14:paraId="2A300E48" w14:textId="082C2776" w:rsidR="00647B79" w:rsidRPr="00647B79" w:rsidRDefault="003708C5" w:rsidP="003708C5">
      <w:pPr>
        <w:spacing w:line="240" w:lineRule="auto"/>
        <w:rPr>
          <w:rFonts w:ascii="Calibri" w:eastAsia="Times New Roman" w:hAnsi="Calibri" w:cs="Calibri"/>
        </w:rPr>
      </w:pPr>
      <w:r>
        <w:rPr>
          <w:rFonts w:ascii="Calibri" w:eastAsia="Times New Roman" w:hAnsi="Calibri" w:cs="Calibri"/>
          <w:color w:val="000000"/>
        </w:rPr>
        <w:t>END</w:t>
      </w:r>
    </w:p>
    <w:p w14:paraId="2489F38D" w14:textId="77777777" w:rsidR="00647B79" w:rsidRDefault="00647B79" w:rsidP="00647B79">
      <w:pPr>
        <w:spacing w:line="240" w:lineRule="auto"/>
        <w:jc w:val="center"/>
        <w:rPr>
          <w:rFonts w:ascii="Calibri" w:eastAsia="Times New Roman" w:hAnsi="Calibri" w:cs="Calibri"/>
          <w:b/>
          <w:bCs/>
          <w:color w:val="000000"/>
        </w:rPr>
      </w:pPr>
    </w:p>
    <w:p w14:paraId="56DBF76F" w14:textId="77777777" w:rsidR="00647B79" w:rsidRDefault="00647B79" w:rsidP="00647B79">
      <w:pPr>
        <w:spacing w:line="240" w:lineRule="auto"/>
        <w:jc w:val="center"/>
        <w:rPr>
          <w:rFonts w:ascii="Calibri" w:eastAsia="Times New Roman" w:hAnsi="Calibri" w:cs="Calibri"/>
          <w:b/>
          <w:bCs/>
          <w:color w:val="000000"/>
        </w:rPr>
      </w:pPr>
    </w:p>
    <w:p w14:paraId="35D99C96" w14:textId="77777777" w:rsidR="00647B79" w:rsidRDefault="00647B79" w:rsidP="00647B79">
      <w:pPr>
        <w:spacing w:line="240" w:lineRule="auto"/>
        <w:jc w:val="center"/>
        <w:rPr>
          <w:rFonts w:ascii="Calibri" w:eastAsia="Times New Roman" w:hAnsi="Calibri" w:cs="Calibri"/>
          <w:b/>
          <w:bCs/>
          <w:color w:val="000000"/>
        </w:rPr>
      </w:pPr>
    </w:p>
    <w:p w14:paraId="0899D820" w14:textId="77777777" w:rsidR="00647B79" w:rsidRDefault="00647B79" w:rsidP="00647B79">
      <w:pPr>
        <w:spacing w:line="240" w:lineRule="auto"/>
        <w:jc w:val="center"/>
        <w:rPr>
          <w:rFonts w:ascii="Calibri" w:eastAsia="Times New Roman" w:hAnsi="Calibri" w:cs="Calibri"/>
          <w:b/>
          <w:bCs/>
          <w:color w:val="000000"/>
        </w:rPr>
      </w:pPr>
    </w:p>
    <w:sectPr w:rsidR="00647B79">
      <w:headerReference w:type="default" r:id="rId11"/>
      <w:footerReference w:type="default" r:id="rId12"/>
      <w:pgSz w:w="11906" w:h="16838"/>
      <w:pgMar w:top="567" w:right="851"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CB3D7" w14:textId="77777777" w:rsidR="00EF7DC9" w:rsidRDefault="00EF7DC9">
      <w:pPr>
        <w:spacing w:line="240" w:lineRule="auto"/>
      </w:pPr>
      <w:r>
        <w:separator/>
      </w:r>
    </w:p>
  </w:endnote>
  <w:endnote w:type="continuationSeparator" w:id="0">
    <w:p w14:paraId="448A7FC4" w14:textId="77777777" w:rsidR="00EF7DC9" w:rsidRDefault="00EF7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ED7A" w14:textId="77777777" w:rsidR="00BC21A8" w:rsidRDefault="00BC21A8">
    <w:pPr>
      <w:pBdr>
        <w:top w:val="nil"/>
        <w:left w:val="nil"/>
        <w:bottom w:val="nil"/>
        <w:right w:val="nil"/>
        <w:between w:val="nil"/>
      </w:pBdr>
      <w:tabs>
        <w:tab w:val="center" w:pos="4513"/>
        <w:tab w:val="right" w:pos="9026"/>
      </w:tabs>
      <w:spacing w:line="240" w:lineRule="auto"/>
      <w:rPr>
        <w:color w:val="000000"/>
      </w:rPr>
    </w:pPr>
  </w:p>
  <w:p w14:paraId="65BA49FE" w14:textId="77777777" w:rsidR="00BC21A8" w:rsidRDefault="00EF7DC9">
    <w:pPr>
      <w:pBdr>
        <w:top w:val="nil"/>
        <w:left w:val="nil"/>
        <w:bottom w:val="nil"/>
        <w:right w:val="nil"/>
        <w:between w:val="nil"/>
      </w:pBdr>
      <w:tabs>
        <w:tab w:val="center" w:pos="4513"/>
        <w:tab w:val="right" w:pos="9026"/>
      </w:tabs>
      <w:spacing w:line="240" w:lineRule="auto"/>
      <w:rPr>
        <w:color w:val="000000"/>
      </w:rPr>
    </w:pPr>
    <w:r>
      <w:pict w14:anchorId="4ABA512E">
        <v:rect id="_x0000_i1026" style="width:0;height:1.5pt" o:hralign="center" o:hrstd="t" o:hr="t" fillcolor="#a0a0a0" stroked="f"/>
      </w:pict>
    </w:r>
  </w:p>
  <w:p w14:paraId="36B58BF6" w14:textId="052F66FD" w:rsidR="00BC21A8" w:rsidRDefault="00AF0E5E" w:rsidP="00AF0E5E">
    <w:pPr>
      <w:pBdr>
        <w:top w:val="nil"/>
        <w:left w:val="nil"/>
        <w:bottom w:val="nil"/>
        <w:right w:val="nil"/>
        <w:between w:val="nil"/>
      </w:pBdr>
      <w:tabs>
        <w:tab w:val="center" w:pos="4820"/>
        <w:tab w:val="right" w:pos="9921"/>
      </w:tabs>
      <w:spacing w:line="240" w:lineRule="auto"/>
      <w:rPr>
        <w:color w:val="000000"/>
      </w:rPr>
    </w:pPr>
    <w:r w:rsidRPr="00AF0E5E">
      <w:rPr>
        <w:color w:val="000000"/>
      </w:rPr>
      <w:t>Broomhall Centre Procedures</w:t>
    </w:r>
    <w:r>
      <w:rPr>
        <w:color w:val="000000"/>
      </w:rPr>
      <w:t xml:space="preserve"> </w:t>
    </w:r>
    <w:r>
      <w:rPr>
        <w:color w:val="000000"/>
      </w:rPr>
      <w:tab/>
    </w:r>
    <w:r w:rsidR="006C0D9B">
      <w:rPr>
        <w:color w:val="000000"/>
      </w:rPr>
      <w:t xml:space="preserve">Date: </w:t>
    </w:r>
    <w:r w:rsidR="00647B79">
      <w:rPr>
        <w:color w:val="000000"/>
      </w:rPr>
      <w:t>June 2017</w:t>
    </w:r>
    <w:r w:rsidR="006C0D9B">
      <w:rPr>
        <w:color w:val="000000"/>
      </w:rPr>
      <w:tab/>
      <w:t xml:space="preserve">Page </w:t>
    </w:r>
    <w:r w:rsidR="006C0D9B">
      <w:rPr>
        <w:color w:val="000000"/>
      </w:rPr>
      <w:fldChar w:fldCharType="begin"/>
    </w:r>
    <w:r w:rsidR="006C0D9B">
      <w:rPr>
        <w:color w:val="000000"/>
      </w:rPr>
      <w:instrText>PAGE</w:instrText>
    </w:r>
    <w:r w:rsidR="006C0D9B">
      <w:rPr>
        <w:color w:val="000000"/>
      </w:rPr>
      <w:fldChar w:fldCharType="separate"/>
    </w:r>
    <w:r>
      <w:rPr>
        <w:noProof/>
        <w:color w:val="000000"/>
      </w:rPr>
      <w:t>1</w:t>
    </w:r>
    <w:r w:rsidR="006C0D9B">
      <w:rPr>
        <w:color w:val="000000"/>
      </w:rPr>
      <w:fldChar w:fldCharType="end"/>
    </w:r>
    <w:r w:rsidR="006C0D9B">
      <w:rPr>
        <w:color w:val="000000"/>
      </w:rPr>
      <w:t xml:space="preserve"> of </w:t>
    </w:r>
    <w:r w:rsidR="006C0D9B">
      <w:rPr>
        <w:color w:val="000000"/>
      </w:rPr>
      <w:fldChar w:fldCharType="begin"/>
    </w:r>
    <w:r w:rsidR="006C0D9B">
      <w:rPr>
        <w:color w:val="000000"/>
      </w:rPr>
      <w:instrText>NUMPAGES</w:instrText>
    </w:r>
    <w:r w:rsidR="006C0D9B">
      <w:rPr>
        <w:color w:val="000000"/>
      </w:rPr>
      <w:fldChar w:fldCharType="separate"/>
    </w:r>
    <w:r>
      <w:rPr>
        <w:noProof/>
        <w:color w:val="000000"/>
      </w:rPr>
      <w:t>1</w:t>
    </w:r>
    <w:r w:rsidR="006C0D9B">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EF32" w14:textId="77777777" w:rsidR="00EF7DC9" w:rsidRDefault="00EF7DC9">
      <w:pPr>
        <w:spacing w:line="240" w:lineRule="auto"/>
      </w:pPr>
      <w:r>
        <w:separator/>
      </w:r>
    </w:p>
  </w:footnote>
  <w:footnote w:type="continuationSeparator" w:id="0">
    <w:p w14:paraId="13A05E23" w14:textId="77777777" w:rsidR="00EF7DC9" w:rsidRDefault="00EF7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55DF" w14:textId="77777777" w:rsidR="00BC21A8" w:rsidRDefault="006C0D9B">
    <w:pPr>
      <w:pBdr>
        <w:top w:val="nil"/>
        <w:left w:val="nil"/>
        <w:bottom w:val="nil"/>
        <w:right w:val="nil"/>
        <w:between w:val="nil"/>
      </w:pBdr>
      <w:tabs>
        <w:tab w:val="center" w:pos="4513"/>
        <w:tab w:val="right" w:pos="9026"/>
      </w:tabs>
      <w:spacing w:line="240" w:lineRule="auto"/>
      <w:rPr>
        <w:rFonts w:ascii="Century Gothic" w:eastAsia="Century Gothic" w:hAnsi="Century Gothic" w:cs="Century Gothic"/>
        <w:color w:val="000000"/>
        <w:sz w:val="32"/>
        <w:szCs w:val="32"/>
      </w:rPr>
    </w:pPr>
    <w:r>
      <w:rPr>
        <w:noProof/>
      </w:rPr>
      <w:drawing>
        <wp:anchor distT="0" distB="0" distL="114300" distR="114300" simplePos="0" relativeHeight="251678720" behindDoc="0" locked="0" layoutInCell="1" hidden="0" allowOverlap="1" wp14:anchorId="7773DBC9" wp14:editId="32C3A588">
          <wp:simplePos x="0" y="0"/>
          <wp:positionH relativeFrom="column">
            <wp:posOffset>4913835</wp:posOffset>
          </wp:positionH>
          <wp:positionV relativeFrom="paragraph">
            <wp:posOffset>0</wp:posOffset>
          </wp:positionV>
          <wp:extent cx="1386000" cy="687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6000" cy="687600"/>
                  </a:xfrm>
                  <a:prstGeom prst="rect">
                    <a:avLst/>
                  </a:prstGeom>
                  <a:ln/>
                </pic:spPr>
              </pic:pic>
            </a:graphicData>
          </a:graphic>
        </wp:anchor>
      </w:drawing>
    </w:r>
  </w:p>
  <w:p w14:paraId="661B4E16" w14:textId="2B17A896" w:rsidR="00BC21A8" w:rsidRPr="007C64A4" w:rsidRDefault="00647B79">
    <w:pPr>
      <w:pBdr>
        <w:top w:val="nil"/>
        <w:left w:val="nil"/>
        <w:bottom w:val="nil"/>
        <w:right w:val="nil"/>
        <w:between w:val="nil"/>
      </w:pBdr>
      <w:tabs>
        <w:tab w:val="center" w:pos="4513"/>
        <w:tab w:val="right" w:pos="9026"/>
      </w:tabs>
      <w:spacing w:line="240" w:lineRule="auto"/>
      <w:rPr>
        <w:rFonts w:ascii="Century Gothic" w:eastAsia="Century Gothic" w:hAnsi="Century Gothic" w:cs="Century Gothic"/>
        <w:b/>
        <w:sz w:val="32"/>
        <w:szCs w:val="32"/>
      </w:rPr>
    </w:pPr>
    <w:r>
      <w:rPr>
        <w:rFonts w:ascii="Century Gothic" w:eastAsia="Century Gothic" w:hAnsi="Century Gothic" w:cs="Century Gothic"/>
        <w:b/>
        <w:sz w:val="32"/>
        <w:szCs w:val="32"/>
      </w:rPr>
      <w:t>Complaints Procedure</w:t>
    </w:r>
  </w:p>
  <w:p w14:paraId="408F886B" w14:textId="77777777" w:rsidR="00BC21A8" w:rsidRDefault="00BC21A8">
    <w:pPr>
      <w:pBdr>
        <w:top w:val="nil"/>
        <w:left w:val="nil"/>
        <w:bottom w:val="nil"/>
        <w:right w:val="nil"/>
        <w:between w:val="nil"/>
      </w:pBdr>
      <w:tabs>
        <w:tab w:val="center" w:pos="4513"/>
        <w:tab w:val="right" w:pos="9026"/>
      </w:tabs>
      <w:spacing w:line="240" w:lineRule="auto"/>
      <w:rPr>
        <w:color w:val="000000"/>
      </w:rPr>
    </w:pPr>
  </w:p>
  <w:p w14:paraId="5D715653" w14:textId="77777777" w:rsidR="00BC21A8" w:rsidRDefault="00EF7DC9">
    <w:pPr>
      <w:pBdr>
        <w:top w:val="nil"/>
        <w:left w:val="nil"/>
        <w:bottom w:val="nil"/>
        <w:right w:val="nil"/>
        <w:between w:val="nil"/>
      </w:pBdr>
      <w:tabs>
        <w:tab w:val="center" w:pos="4513"/>
        <w:tab w:val="right" w:pos="9026"/>
      </w:tabs>
      <w:spacing w:after="240" w:line="240" w:lineRule="auto"/>
      <w:rPr>
        <w:color w:val="000000"/>
      </w:rPr>
    </w:pPr>
    <w:r>
      <w:pict w14:anchorId="16B2217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401"/>
    <w:multiLevelType w:val="multilevel"/>
    <w:tmpl w:val="818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12E"/>
    <w:multiLevelType w:val="multilevel"/>
    <w:tmpl w:val="FF26D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51CDA"/>
    <w:multiLevelType w:val="multilevel"/>
    <w:tmpl w:val="FBCC6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8077A"/>
    <w:multiLevelType w:val="multilevel"/>
    <w:tmpl w:val="11D6AF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D05FA"/>
    <w:multiLevelType w:val="multilevel"/>
    <w:tmpl w:val="E822F9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EC3F4E"/>
    <w:multiLevelType w:val="multilevel"/>
    <w:tmpl w:val="9FD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C749D"/>
    <w:multiLevelType w:val="multilevel"/>
    <w:tmpl w:val="EAE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D4284"/>
    <w:multiLevelType w:val="multilevel"/>
    <w:tmpl w:val="ED42C0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C1533B"/>
    <w:multiLevelType w:val="multilevel"/>
    <w:tmpl w:val="85A45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C10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F24E97"/>
    <w:multiLevelType w:val="multilevel"/>
    <w:tmpl w:val="5C08F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684896"/>
    <w:multiLevelType w:val="multilevel"/>
    <w:tmpl w:val="DC94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06D7D"/>
    <w:multiLevelType w:val="multilevel"/>
    <w:tmpl w:val="3006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77B8C"/>
    <w:multiLevelType w:val="multilevel"/>
    <w:tmpl w:val="08BC9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8"/>
  </w:num>
  <w:num w:numId="4">
    <w:abstractNumId w:val="4"/>
  </w:num>
  <w:num w:numId="5">
    <w:abstractNumId w:val="10"/>
  </w:num>
  <w:num w:numId="6">
    <w:abstractNumId w:val="1"/>
  </w:num>
  <w:num w:numId="7">
    <w:abstractNumId w:val="7"/>
  </w:num>
  <w:num w:numId="8">
    <w:abstractNumId w:val="3"/>
  </w:num>
  <w:num w:numId="9">
    <w:abstractNumId w:val="5"/>
  </w:num>
  <w:num w:numId="10">
    <w:abstractNumId w:val="11"/>
  </w:num>
  <w:num w:numId="11">
    <w:abstractNumId w:val="6"/>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7B79"/>
    <w:rsid w:val="00033829"/>
    <w:rsid w:val="003708C5"/>
    <w:rsid w:val="004132AB"/>
    <w:rsid w:val="00494F1A"/>
    <w:rsid w:val="00573EC0"/>
    <w:rsid w:val="00647B79"/>
    <w:rsid w:val="00685E1E"/>
    <w:rsid w:val="006C0D9B"/>
    <w:rsid w:val="0074441B"/>
    <w:rsid w:val="007C64A4"/>
    <w:rsid w:val="00AF0E5E"/>
    <w:rsid w:val="00BC21A8"/>
    <w:rsid w:val="00C91CE8"/>
    <w:rsid w:val="00D44B2D"/>
    <w:rsid w:val="00E84EBC"/>
    <w:rsid w:val="00E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33A3"/>
  <w15:docId w15:val="{43BA19D9-C5AE-4367-B84A-31597F08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rFonts w:ascii="Century Gothic" w:eastAsia="Century Gothic" w:hAnsi="Century Gothic" w:cs="Century Gothic"/>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F0E5E"/>
    <w:pPr>
      <w:tabs>
        <w:tab w:val="center" w:pos="4513"/>
        <w:tab w:val="right" w:pos="9026"/>
      </w:tabs>
      <w:spacing w:line="240" w:lineRule="auto"/>
    </w:pPr>
  </w:style>
  <w:style w:type="character" w:customStyle="1" w:styleId="HeaderChar">
    <w:name w:val="Header Char"/>
    <w:basedOn w:val="DefaultParagraphFont"/>
    <w:link w:val="Header"/>
    <w:uiPriority w:val="99"/>
    <w:rsid w:val="00AF0E5E"/>
  </w:style>
  <w:style w:type="paragraph" w:styleId="Footer">
    <w:name w:val="footer"/>
    <w:basedOn w:val="Normal"/>
    <w:link w:val="FooterChar"/>
    <w:uiPriority w:val="99"/>
    <w:unhideWhenUsed/>
    <w:rsid w:val="00AF0E5E"/>
    <w:pPr>
      <w:tabs>
        <w:tab w:val="center" w:pos="4513"/>
        <w:tab w:val="right" w:pos="9026"/>
      </w:tabs>
      <w:spacing w:line="240" w:lineRule="auto"/>
    </w:pPr>
  </w:style>
  <w:style w:type="character" w:customStyle="1" w:styleId="FooterChar">
    <w:name w:val="Footer Char"/>
    <w:basedOn w:val="DefaultParagraphFont"/>
    <w:link w:val="Footer"/>
    <w:uiPriority w:val="99"/>
    <w:rsid w:val="00AF0E5E"/>
  </w:style>
  <w:style w:type="paragraph" w:styleId="NormalWeb">
    <w:name w:val="Normal (Web)"/>
    <w:basedOn w:val="Normal"/>
    <w:uiPriority w:val="99"/>
    <w:semiHidden/>
    <w:unhideWhenUsed/>
    <w:rsid w:val="00647B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B79"/>
    <w:rPr>
      <w:color w:val="0000FF"/>
      <w:u w:val="single"/>
    </w:rPr>
  </w:style>
  <w:style w:type="character" w:styleId="UnresolvedMention">
    <w:name w:val="Unresolved Mention"/>
    <w:basedOn w:val="DefaultParagraphFont"/>
    <w:uiPriority w:val="99"/>
    <w:semiHidden/>
    <w:unhideWhenUsed/>
    <w:rsid w:val="0049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936734">
      <w:bodyDiv w:val="1"/>
      <w:marLeft w:val="0"/>
      <w:marRight w:val="0"/>
      <w:marTop w:val="0"/>
      <w:marBottom w:val="0"/>
      <w:divBdr>
        <w:top w:val="none" w:sz="0" w:space="0" w:color="auto"/>
        <w:left w:val="none" w:sz="0" w:space="0" w:color="auto"/>
        <w:bottom w:val="none" w:sz="0" w:space="0" w:color="auto"/>
        <w:right w:val="none" w:sz="0" w:space="0" w:color="auto"/>
      </w:divBdr>
      <w:divsChild>
        <w:div w:id="1632128946">
          <w:marLeft w:val="-230"/>
          <w:marRight w:val="0"/>
          <w:marTop w:val="0"/>
          <w:marBottom w:val="0"/>
          <w:divBdr>
            <w:top w:val="none" w:sz="0" w:space="0" w:color="auto"/>
            <w:left w:val="none" w:sz="0" w:space="0" w:color="auto"/>
            <w:bottom w:val="none" w:sz="0" w:space="0" w:color="auto"/>
            <w:right w:val="none" w:sz="0" w:space="0" w:color="auto"/>
          </w:divBdr>
        </w:div>
        <w:div w:id="2025092302">
          <w:marLeft w:val="-2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ir@broomhallcentr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aritycommission.gov.uk/publications/cc47.aspx" TargetMode="External"/><Relationship Id="rId4" Type="http://schemas.openxmlformats.org/officeDocument/2006/relationships/settings" Target="settings.xml"/><Relationship Id="rId9" Type="http://schemas.openxmlformats.org/officeDocument/2006/relationships/hyperlink" Target="mailto:secretary@broomhallcent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s\Documents\Custom%20Office%20Templates\BHC%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E23DB9F44F6F48BB51AEA26D1F9307" ma:contentTypeVersion="15" ma:contentTypeDescription="Create a new document." ma:contentTypeScope="" ma:versionID="598dd3ea0a0623b6e380f06b10c69ff4">
  <xsd:schema xmlns:xsd="http://www.w3.org/2001/XMLSchema" xmlns:xs="http://www.w3.org/2001/XMLSchema" xmlns:p="http://schemas.microsoft.com/office/2006/metadata/properties" xmlns:ns2="3f75a550-8c71-4de2-9351-5e1a36efbdf2" xmlns:ns3="912ea525-0fc0-494a-ab90-3f04593b57e8" targetNamespace="http://schemas.microsoft.com/office/2006/metadata/properties" ma:root="true" ma:fieldsID="332a8f5ed6dc7c69840194c41915768c" ns2:_="" ns3:_="">
    <xsd:import namespace="3f75a550-8c71-4de2-9351-5e1a36efbdf2"/>
    <xsd:import namespace="912ea525-0fc0-494a-ab90-3f04593b5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5a550-8c71-4de2-9351-5e1a36efb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46f9d5-1483-4059-87e5-0ea3da083e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a525-0fc0-494a-ab90-3f04593b57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50081-a21d-4e42-8cd2-f0e17642e8a3}" ma:internalName="TaxCatchAll" ma:showField="CatchAllData" ma:web="912ea525-0fc0-494a-ab90-3f04593b5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75a550-8c71-4de2-9351-5e1a36efbdf2">
      <Terms xmlns="http://schemas.microsoft.com/office/infopath/2007/PartnerControls"/>
    </lcf76f155ced4ddcb4097134ff3c332f>
    <TaxCatchAll xmlns="912ea525-0fc0-494a-ab90-3f04593b57e8" xsi:nil="true"/>
  </documentManagement>
</p:properties>
</file>

<file path=customXml/itemProps1.xml><?xml version="1.0" encoding="utf-8"?>
<ds:datastoreItem xmlns:ds="http://schemas.openxmlformats.org/officeDocument/2006/customXml" ds:itemID="{58C0AACC-DF73-40B0-93F9-4189BB3D14C1}">
  <ds:schemaRefs>
    <ds:schemaRef ds:uri="http://schemas.openxmlformats.org/officeDocument/2006/bibliography"/>
  </ds:schemaRefs>
</ds:datastoreItem>
</file>

<file path=customXml/itemProps2.xml><?xml version="1.0" encoding="utf-8"?>
<ds:datastoreItem xmlns:ds="http://schemas.openxmlformats.org/officeDocument/2006/customXml" ds:itemID="{87D0E9FD-6D3D-4783-9EA5-C1E3AB11CA77}"/>
</file>

<file path=customXml/itemProps3.xml><?xml version="1.0" encoding="utf-8"?>
<ds:datastoreItem xmlns:ds="http://schemas.openxmlformats.org/officeDocument/2006/customXml" ds:itemID="{332E6062-6417-4F0D-96AB-E31DA8C83FC4}"/>
</file>

<file path=customXml/itemProps4.xml><?xml version="1.0" encoding="utf-8"?>
<ds:datastoreItem xmlns:ds="http://schemas.openxmlformats.org/officeDocument/2006/customXml" ds:itemID="{261D9E81-97E8-4BAA-AE19-5A4FAE89B533}"/>
</file>

<file path=docProps/app.xml><?xml version="1.0" encoding="utf-8"?>
<Properties xmlns="http://schemas.openxmlformats.org/officeDocument/2006/extended-properties" xmlns:vt="http://schemas.openxmlformats.org/officeDocument/2006/docPropsVTypes">
  <Template>BHC Policy template</Template>
  <TotalTime>23</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dc:creator>
  <cp:lastModifiedBy>Pete Sacker</cp:lastModifiedBy>
  <cp:revision>2</cp:revision>
  <dcterms:created xsi:type="dcterms:W3CDTF">2019-04-09T14:29:00Z</dcterms:created>
  <dcterms:modified xsi:type="dcterms:W3CDTF">2019-04-09T15:10:00Z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0x010100C8E23DB9F44F6F48BB51AEA26D1F9307</vt:lpwstr>
  </property>
  <property fmtid="{D5CDD505-2E9C-101B-9397-08002B2CF9AE}" pid="3" name="Order">
    <vt:r8>952000</vt:r8>
  </property>
</Properties>
</file>